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51"/>
        <w:gridCol w:w="4920"/>
        <w:gridCol w:w="1588"/>
        <w:gridCol w:w="43"/>
      </w:tblGrid>
      <w:tr w:rsidR="002769B3" w:rsidRPr="002769B3" w:rsidTr="002769B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6"/>
              <w:gridCol w:w="5096"/>
            </w:tblGrid>
            <w:tr w:rsidR="002769B3" w:rsidRPr="002769B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IDŐKÖZI BESZÁMOLÓ</w:t>
                  </w: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br/>
                    <w:t>szakmai beszámoló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72"/>
                    <w:gridCol w:w="814"/>
                  </w:tblGrid>
                  <w:tr w:rsidR="002769B3" w:rsidRPr="002769B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2769B3" w:rsidRPr="002769B3" w:rsidRDefault="002769B3" w:rsidP="002769B3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69B3"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  <w:t>NKFI-azonosító</w:t>
                        </w:r>
                        <w:proofErr w:type="spellEnd"/>
                        <w:r w:rsidRPr="002769B3"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  <w:t>: 112700</w:t>
                        </w:r>
                      </w:p>
                    </w:tc>
                    <w:tc>
                      <w:tcPr>
                        <w:tcW w:w="8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2769B3" w:rsidRPr="002769B3" w:rsidRDefault="002769B3" w:rsidP="002769B3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69B3"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  <w:t>Típus: NN</w:t>
                        </w:r>
                      </w:p>
                    </w:tc>
                  </w:tr>
                  <w:tr w:rsidR="002769B3" w:rsidRPr="002769B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769B3" w:rsidRPr="002769B3" w:rsidRDefault="002769B3" w:rsidP="002769B3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69B3"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  <w:t>Szakmai jelentés: 2015. 10. 20</w:t>
                        </w:r>
                      </w:p>
                    </w:tc>
                  </w:tr>
                </w:tbl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42"/>
              <w:gridCol w:w="6440"/>
            </w:tblGrid>
            <w:tr w:rsidR="002769B3" w:rsidRPr="002769B3">
              <w:trPr>
                <w:tblCellSpacing w:w="0" w:type="dxa"/>
              </w:trPr>
              <w:tc>
                <w:tcPr>
                  <w:tcW w:w="2642" w:type="dxa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Vezető kutató:</w:t>
                  </w:r>
                </w:p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Dánél</w:t>
                  </w:r>
                  <w:proofErr w:type="spellEnd"/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 xml:space="preserve"> Mónika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Kutatóhely:</w:t>
                  </w:r>
                </w:p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Magyar Irodalom- és Kultúratudományi Intézet (Eötvös Loránd Tudományegyetem)</w:t>
                  </w:r>
                </w:p>
              </w:tc>
            </w:tr>
          </w:tbl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7"/>
              <w:gridCol w:w="1628"/>
              <w:gridCol w:w="2671"/>
              <w:gridCol w:w="1978"/>
              <w:gridCol w:w="1878"/>
            </w:tblGrid>
            <w:tr w:rsidR="002769B3" w:rsidRPr="002769B3">
              <w:trPr>
                <w:tblCellSpacing w:w="0" w:type="dxa"/>
              </w:trPr>
              <w:tc>
                <w:tcPr>
                  <w:tcW w:w="927" w:type="dxa"/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Zsűri: MIF</w:t>
                  </w:r>
                </w:p>
              </w:tc>
              <w:tc>
                <w:tcPr>
                  <w:tcW w:w="1628" w:type="dxa"/>
                  <w:tcBorders>
                    <w:left w:val="single" w:sz="4" w:space="0" w:color="000000"/>
                  </w:tcBorders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Kezdet: 2014. 10. 01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Időszak: 2014-10-01 - 2015-09-30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Főkönyviszám</w:t>
                  </w:r>
                  <w:proofErr w:type="spellEnd"/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: 71215</w:t>
                  </w:r>
                </w:p>
              </w:tc>
              <w:tc>
                <w:tcPr>
                  <w:tcW w:w="1878" w:type="dxa"/>
                  <w:tcBorders>
                    <w:left w:val="single" w:sz="4" w:space="0" w:color="000000"/>
                  </w:tcBorders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Nyomtatás: 2016. 05. 04.</w:t>
                  </w:r>
                </w:p>
              </w:tc>
            </w:tr>
          </w:tbl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Pályázat címe: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A másság terei. Kulturális tér-képek, érintkezési zónák a kortárs magyar és román filmben és irodalomban </w:t>
            </w:r>
          </w:p>
        </w:tc>
      </w:tr>
      <w:tr w:rsidR="002769B3" w:rsidRPr="002769B3" w:rsidTr="002769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>Kutatásban résztvevők azonosak a szerződésben szereplő kutatókkal?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 xml:space="preserve">(Amennyiben nem azonosak, akkor kérjük, hogy az illetékes Kollégium elnökének címzett kérelemben jelezze a változást.)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igen </w:t>
            </w:r>
          </w:p>
        </w:tc>
      </w:tr>
      <w:tr w:rsidR="002769B3" w:rsidRPr="002769B3" w:rsidTr="002769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Az elvégzett munka megfelel-e a munkatervben tervezettnek?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igen </w:t>
            </w:r>
          </w:p>
        </w:tc>
      </w:tr>
      <w:tr w:rsidR="002769B3" w:rsidRPr="002769B3" w:rsidTr="002769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5pt;height:1.25pt"/>
              </w:pict>
            </w:r>
          </w:p>
        </w:tc>
      </w:tr>
      <w:tr w:rsidR="002769B3" w:rsidRPr="002769B3" w:rsidTr="002769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Az elért eredmények rövid ismertetése: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 xml:space="preserve">A három magyar egyetemet (Eötvös Loránd Tudományegyetem, Szegedi Tudományegyetem, Debreceni Tudományegyetem) képviselő kutatókból álló csoport tevékenysége a pályázatban vállaltak értelmében négy (alább részletezett) területen szerveződött. Az egyéni munkák a „kereszteződésekként” jelölt közös tevékenységek (konferenciák,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workshopok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, szemináriumok) által épültek be a kutatás komplex, a másságot a tér és térhasználat vonatkozásában szemlélő célkitűzéseibe. A projekt hallgatókat bevonó szellemét igyekeztünk a témához kapcsolódó egyetemi kurzusokkal érvényre juttatni, illetve oly módon is, hogy mindhárom egyetemi városban volt szakmai találkozónk, amely nyitott volt a helyi érdeklődők számára. A csoport tagjai összesen 11 konferencián vettek részt: kettő belföldi, a többi külföldi, ez utóbbiakból három romániai rendezvény volt. Ezek sorát 2014 októberében a kolozsvári társprojekt éves nemzetközi konferenciája nyitotta. Számos cikk és tanulmány íródott (lásd Közlemények), amelyek egy része, a folyóiratok és kötetek hosszas átfutási ideje miatt, megjelenés előtt áll.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 xml:space="preserve">A vállalt területeken a következő eredményekkel zajlott a kutatás: 1. Az elméleti fogalmak feltérképezését elsősorban a közös vitafórumok segítették, a hazai- és nemzetközi konferenciákon való részvételek, valamint a szakirodalmi anyaggyűjtés. Folyamatosan épül a témával kapcsolatos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pdf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. fájlokat tartalmazó virtuális könyvtár, és megrendelésre kerültek a projekthez szükséges szakkönyvek és filmek is. Elkészült a kutatás honlapja contactzones.elte.hu címmel, amely három (magyar, román és angol) nyelven ismerteti a projekt tevékenységeit és eredményeit. Kiválasztottuk a második év végére tervezett,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Tér-Elmélet-Kultúra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című fordításkötet anyagát is. 2. A másság terei a kortárs magyar és román irodalomban témakör több vonatkozásban is megközelítésre került, programszerűen a saját (alább részletezett)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workshop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kérdésirányaiban. A </w:t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szegénység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mint másság megjelenítésére, mediális sajátosságaira irányuló Kortárs szegénységábrázolások 2 című konferencián (Budapest, 2014. december 5–6.) szintén képviselte magát a csoportunk, illetve az előadások publikáció formájában is megjelentek, megjelenés előtt állnak. Sor került még két, a magyar és a román kortárs irodalom alkotásait elemző, a másság térbeli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figrációira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összpontosító szemináriumra: Dragomán György Máglya című regényének megbeszélésére (ELTE BTK, MIKI, 2015. március 10.), illetve a kortárs román próza és műfordításának Vincze Ferenc általi bemutatására, különös tekintettel a határátlépés alakzataira és a memóriamunkára, illetve a testek identitáskereső térhasználatára. (ELTE, BTK, MIKI, 2015. július 3.) 3. Testek közöttisége. A tér képei és a másság alakzatai a kortárs magyar és román filmben témakörhöz kapcsolódott a csoport debreceni tagjai által szervezett, Tér, hatalom és identitás viszonyai a 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lastRenderedPageBreak/>
              <w:t xml:space="preserve">magyar </w:t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filmben című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konferencia, amely a testek társadalmi szabályozásra vonatkozó térhasználat-elméleteket járta körül a nemi, etnikai és szociális másság magyar filmes tematikáival. A konferencián bemutatott tanulmányok Győri Zsolt és Kalmár György szerkesztésében kötetben fognak megjelenni. A testek térbeli-időbeli determináltságának filmes ábrázolását kutatta Varga Balázs (Hajdu Szabolcs filmjeiben), valamint Vincze Teréz a posztkommunista magyar sport-tematikájú filmek testképéről tartott előadást. Erről további nemzetközi konferenciákon adott elő, és írt tanulmányokat. 4. Érintkező zónák témakör két vonatkozásban jutott kifejezésre: A román-magyar filmes koprodukciók sajátos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heterotópiákat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kialakító jelenségének kutatását kezdte el Király Hajnal (lásd megjelent tanulmányát). A román-magyar kulturális átjárások filmes és irodalmi megjelenítésével, a transznacionalizmus alakzataival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Dánél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Mónika foglalkozott Bodor Ádám műveit és azok adaptációit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elemzve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az említett debreceni konferencián, illetve az Átmenetdiskurzusok című nemzetközi konferencián (Bukaresti Egyetem, 2014. 12. 16–17.) Ez utóbbi téma már kapcsolatot teremt a közöttiség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metadiszkurzív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intermedialitásként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való értelmezésére, amit a társprojekttel való együttműködés biztosított. 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</w:r>
            <w:r w:rsidRPr="002769B3">
              <w:rPr>
                <w:rFonts w:eastAsia="Times New Roman"/>
                <w:i/>
                <w:sz w:val="24"/>
                <w:szCs w:val="24"/>
                <w:lang w:eastAsia="hu-HU"/>
              </w:rPr>
              <w:t>Nemzetközi együttműködés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i/>
                <w:sz w:val="24"/>
                <w:szCs w:val="24"/>
                <w:lang w:eastAsia="hu-HU"/>
              </w:rPr>
              <w:t>Figurations</w:t>
            </w:r>
            <w:proofErr w:type="spellEnd"/>
            <w:r w:rsidRPr="002769B3">
              <w:rPr>
                <w:rFonts w:eastAsia="Times New Roman"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769B3">
              <w:rPr>
                <w:rFonts w:eastAsia="Times New Roman"/>
                <w:i/>
                <w:sz w:val="24"/>
                <w:szCs w:val="24"/>
                <w:lang w:eastAsia="hu-HU"/>
              </w:rPr>
              <w:t>Intermediality</w:t>
            </w:r>
            <w:proofErr w:type="spellEnd"/>
            <w:r w:rsidRPr="002769B3">
              <w:rPr>
                <w:rFonts w:eastAsia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i/>
                <w:sz w:val="24"/>
                <w:szCs w:val="24"/>
                <w:lang w:eastAsia="hu-HU"/>
              </w:rPr>
              <w:t>in</w:t>
            </w:r>
            <w:proofErr w:type="spellEnd"/>
            <w:r w:rsidRPr="002769B3">
              <w:rPr>
                <w:rFonts w:eastAsia="Times New Roman"/>
                <w:i/>
                <w:sz w:val="24"/>
                <w:szCs w:val="24"/>
                <w:lang w:eastAsia="hu-HU"/>
              </w:rPr>
              <w:t xml:space="preserve"> Film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című, a kolozsvári Sapientia Erdélyi Magyar Tudományegyetemen tartott nemzetközi konferencia kiváló alkalom volt a partner projekt tagjaival az együttműködés módjainak megbeszélésére, a leendő közös, külföldi konferenciapanelek megszervezésére, valamint a projekt vezetőjével, Pethő Ágnessel való, a magyar és román kortárs filmekre irányuló, elméleti konzultációra. </w:t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E konferencián kívül, amelyen közös, a kortárs kelet-európai film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intermedialitását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tematizáló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panelt is alkottunk, a két csoport tagjai további három nemzetközi konferencián adtak elő: a 2015 áprilisában, Utrechtben megrendezett Play,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perform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participate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intermedialitás-konferencián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két közös panellal, a NECS által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Łódź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-ban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szervezett konferencián egy közös panellal (2015 június), illetve a társprojekt egyik tagja,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Pieledner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Judit által Csíkszeredában szervezett, Homo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Viator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nemzetközi konferenciáján (2015 április).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Ez utóbbin projektünk három hallgatója is részt vett. A konferencia-részvételek számos tanulmány megírását eredményezték, amelyek a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Studies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for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Eastern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European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Cinema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folyóiratban, illetve a csíkszeredai konferencia tanulmánykötetében fognak rövidesen megjelenni.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Workshop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: A kutatás első évére tervezett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workshop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más-terek irodalmi értelmezésének lehetőségei címmel a Szegedi Tudományegyetemen valósult meg 2015. szeptember 18-án. Meghívott előadó Faragó Kornélia, az Újvidéki Egyetem professzora, a tér és térhasználat irodalmi reprezentációinak szakértője volt, akinek Migráns perspektívák, határszubjektumok című tanulmánya került megvitatásra, különös tekintettel a „határszubjektum” fogalmának értelmezésére, aktualitására, illetve a határátlépés irodalmi megalkotásainak változataira. A fiatal kutatók bevonásának szellemében a projekthez csatlakozott doktorandusz,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Hlavacska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András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Drakula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kastélya. Térmetaforák pszichológiai értelmezése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Bram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Stoker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regényében című tanulmánya is megvitatásra került, amely Kelet-Európa, szűkebben Románia kolonizáló alakzatait vizsgálta. A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workshop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Kovács Flóra moderálásával Tompa Andrea Fejtől s </w:t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lábtól című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regényének interpretációjával zárult, ahol többek között a Faragó-tanulmány elméleti kérdésirányai applikációkban nyerhettek érvényt.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</w:r>
            <w:r w:rsidRPr="002769B3">
              <w:rPr>
                <w:rFonts w:eastAsia="Times New Roman"/>
                <w:i/>
                <w:sz w:val="24"/>
                <w:szCs w:val="24"/>
                <w:lang w:eastAsia="hu-HU"/>
              </w:rPr>
              <w:t>Egyéb hazai szakmai tevékenységek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csoport több tagja részt vett a Debreceni Tudományegyetemen Győri Zsolt által szervezett, a kutatás témájával összefüggő, angol nyelvű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workshopon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(2015. május 13.):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Eastern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European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Cinema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Focus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from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state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farms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blockhouse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apartments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. Meghívott előadó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Ewa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Mazierska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a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Studies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Eastern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European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Cinema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szerkesztője volt, akinek ʻ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Representation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Slow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Violence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Fims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about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State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Farms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’ című tanulmányát, Győri Zsolt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Concrete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Utopias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Discourses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Domestic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Space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Central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Eastern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European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Cinema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’ című tanulmányát, illetve Strausz László '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Hesitant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visions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Hesitation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Interpretive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Strategy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' 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lastRenderedPageBreak/>
              <w:t xml:space="preserve">című, a kortárs román film elemzésének elméleti-módszertani kérdéseit felvető tanulmányát vitattuk meg. 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 xml:space="preserve">Strausz László által az ELTE Művészetelméleti és Médiakutatási Intézetében szervezett,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Screen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Memories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című, a posztkommunista filmes emlékezési módok összehasonlítását lehetővé tevő nemzetközi konferencián a csoport hét tagja vett részt (2014. 11. 24–25).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</w:r>
            <w:r w:rsidRPr="002769B3">
              <w:rPr>
                <w:rFonts w:eastAsia="Times New Roman"/>
                <w:i/>
                <w:sz w:val="24"/>
                <w:szCs w:val="24"/>
                <w:lang w:eastAsia="hu-HU"/>
              </w:rPr>
              <w:t>Oktatás</w:t>
            </w:r>
            <w:r w:rsidRPr="002769B3">
              <w:rPr>
                <w:rFonts w:eastAsia="Times New Roman"/>
                <w:i/>
                <w:sz w:val="24"/>
                <w:szCs w:val="24"/>
                <w:lang w:eastAsia="hu-HU"/>
              </w:rPr>
              <w:br/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fiatal kutatók bevonásán, szemináriumokon, konferenciákon,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workshopokon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való részvételén túl a kutatás eredményeinek megosztása a projekt szenior kutatói által az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ELTÉ-n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a Debreceni Tudományegyetemen és a Szegedi Tudományegyetemen tartott kurzusokon is megvalósult. A projekt több szenior kutatója a megjelölt kutatási területekhez kapcsolódó kurzust/szemináriumot tartott: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Dánél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Mónika Tér-kép. </w:t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Kontakt zónák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a kortárs román és magyar filmben és irodalomban, illetve Esemény, emlékezés, újrajátszás (1989 – Románia) címmel, Király Hajnal Menni vagy maradni? Az (el</w:t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)vándorlás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térbeli alakzatai a kortárs magyar és román filmben, Sághy Miklós Filmelemzés 2: kortárs magyar filmről, Strausz László Modernitás elméletek: A szerzői román film alakváltozásai, Varga Balázs pedig Kortárs európai film címmel tartott órákat.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>Megjelenés előtt álló publikációk (Mindegyikben jelölve van az OTKA-támogatás):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 xml:space="preserve">- Győri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Zolt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és Kalmár György által szerkesztett, Tér, hatalom és identitás viszonyai a magyar </w:t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filmben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című kötetben (Debrecen: Egyetemi Kiadó ZOOM sorozata, 2016):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Dánél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Mónika, Győri Zsolt, Kalmár György, Király Hajnal, Sághy Miklós, Varga Balázs, Vincze Teréz,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Ureczky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Eszter tanulmányai.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 xml:space="preserve">- A Homo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Viator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. Tanulmányok az irodalom- nyelv- és kultúratudományok </w:t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köréből című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kötetben (Erdélyi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Múzeum-Egyesület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Pieldner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Judit szerk., 2015 vége) a projekt diák-résztvevőinek tanulmányai: Balogh Lili: Mészöly Miklós Pontos történetek útközben című könyvének narrációja;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Sóki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Diána: Test, tér, textus; Vidosa Eszter: Test-határszegés a magyar irodalomban és filmben. A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kiborg-jelenség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tétje; valamint Kovács Flóra: A megismerés Balla Zsófia Vonatok című versében c. tanulmánya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 xml:space="preserve">Győri Zsolt: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Concrete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Utopias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Discourses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Domestic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Space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Central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Eastern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European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Cinema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Virginás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Andrea (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ed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.):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Spaces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Bodies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Memories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. Cambridge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Scholars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Publishing, 2016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>Hidak és útvesztők: jegyzetek Bereményi Géza életművéhez. Nagyerdei Almanach, 2015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 xml:space="preserve">Király Hajnal: A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Walk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around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Wall: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Theorizing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new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European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cinema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book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review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),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Studies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Eastern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European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Cinema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2016 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 xml:space="preserve">Sághy Miklós: Gonosz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vadkelet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(civilizáció és barbárság határvidéke a kortárs magyar filmben). Filmvilág 2015/10. 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 xml:space="preserve">Vincze Ferenc: A </w:t>
            </w:r>
            <w:proofErr w:type="gram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költözés</w:t>
            </w:r>
            <w:proofErr w:type="gram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mint kulturális és szocializációs mintázat.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: Bányai Éva szerk.: Határdiskurzusok, RHT Kiadó, Bukarest, 2016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  <w:t xml:space="preserve">Vincze Teréz: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Remembering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Bodies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Picturing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Body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Cinema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After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Fall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Communism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. 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br/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Historical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exercises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Hungarian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sports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films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political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commentary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historical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memory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. (Mindkettő: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Studies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Eastern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European </w:t>
            </w: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Cinema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2016) </w:t>
            </w:r>
          </w:p>
        </w:tc>
      </w:tr>
    </w:tbl>
    <w:p w:rsidR="00546EAA" w:rsidRDefault="00546EAA"/>
    <w:p w:rsidR="00567DA6" w:rsidRDefault="00567DA6"/>
    <w:p w:rsidR="00567DA6" w:rsidRDefault="00567DA6"/>
    <w:p w:rsidR="00567DA6" w:rsidRDefault="00567DA6"/>
    <w:p w:rsidR="00567DA6" w:rsidRDefault="00567DA6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92"/>
      </w:tblGrid>
      <w:tr w:rsidR="002769B3" w:rsidRPr="002769B3" w:rsidTr="002769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1"/>
              <w:gridCol w:w="5091"/>
            </w:tblGrid>
            <w:tr w:rsidR="002769B3" w:rsidRPr="002769B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lastRenderedPageBreak/>
                    <w:t>IDŐKÖZI BESZÁMOLÓ</w:t>
                  </w: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br/>
                    <w:t>közlemények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7"/>
                    <w:gridCol w:w="814"/>
                  </w:tblGrid>
                  <w:tr w:rsidR="002769B3" w:rsidRPr="002769B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2769B3" w:rsidRPr="002769B3" w:rsidRDefault="002769B3" w:rsidP="002769B3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69B3"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  <w:t>NKFI-azonosító</w:t>
                        </w:r>
                        <w:proofErr w:type="spellEnd"/>
                        <w:r w:rsidRPr="002769B3"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  <w:t>: 112700</w:t>
                        </w:r>
                      </w:p>
                    </w:tc>
                    <w:tc>
                      <w:tcPr>
                        <w:tcW w:w="8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2769B3" w:rsidRPr="002769B3" w:rsidRDefault="002769B3" w:rsidP="002769B3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69B3"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  <w:t>Típus: NN</w:t>
                        </w:r>
                      </w:p>
                    </w:tc>
                  </w:tr>
                  <w:tr w:rsidR="002769B3" w:rsidRPr="002769B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769B3" w:rsidRPr="002769B3" w:rsidRDefault="002769B3" w:rsidP="002769B3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69B3">
                          <w:rPr>
                            <w:rFonts w:eastAsia="Times New Roman"/>
                            <w:sz w:val="24"/>
                            <w:szCs w:val="24"/>
                            <w:lang w:eastAsia="hu-HU"/>
                          </w:rPr>
                          <w:t>Szakmai jelentés: 2015. 10. 20</w:t>
                        </w:r>
                      </w:p>
                    </w:tc>
                  </w:tr>
                </w:tbl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42"/>
              <w:gridCol w:w="6430"/>
            </w:tblGrid>
            <w:tr w:rsidR="002769B3" w:rsidRPr="002769B3">
              <w:trPr>
                <w:tblCellSpacing w:w="0" w:type="dxa"/>
              </w:trPr>
              <w:tc>
                <w:tcPr>
                  <w:tcW w:w="2642" w:type="dxa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Vezető kutató:</w:t>
                  </w:r>
                </w:p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Dánél</w:t>
                  </w:r>
                  <w:proofErr w:type="spellEnd"/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 xml:space="preserve"> Mónika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Kutatóhely:</w:t>
                  </w:r>
                </w:p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Magyar Irodalom- és Kultúratudományi Intézet (Eötvös Loránd Tudományegyetem)</w:t>
                  </w:r>
                </w:p>
              </w:tc>
            </w:tr>
          </w:tbl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7"/>
              <w:gridCol w:w="1628"/>
              <w:gridCol w:w="2663"/>
              <w:gridCol w:w="1976"/>
              <w:gridCol w:w="1878"/>
            </w:tblGrid>
            <w:tr w:rsidR="002769B3" w:rsidRPr="002769B3">
              <w:trPr>
                <w:tblCellSpacing w:w="0" w:type="dxa"/>
              </w:trPr>
              <w:tc>
                <w:tcPr>
                  <w:tcW w:w="927" w:type="dxa"/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Zsűri: MIF</w:t>
                  </w:r>
                </w:p>
              </w:tc>
              <w:tc>
                <w:tcPr>
                  <w:tcW w:w="1628" w:type="dxa"/>
                  <w:tcBorders>
                    <w:left w:val="single" w:sz="4" w:space="0" w:color="000000"/>
                  </w:tcBorders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Kezdet: 2014. 10. 01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Időszak: 2014-10-01 - 2015-09-30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</w:tcBorders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Főkönyviszám</w:t>
                  </w:r>
                  <w:proofErr w:type="spellEnd"/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: 71215</w:t>
                  </w:r>
                </w:p>
              </w:tc>
              <w:tc>
                <w:tcPr>
                  <w:tcW w:w="1878" w:type="dxa"/>
                  <w:tcBorders>
                    <w:left w:val="single" w:sz="4" w:space="0" w:color="000000"/>
                  </w:tcBorders>
                  <w:vAlign w:val="center"/>
                  <w:hideMark/>
                </w:tcPr>
                <w:p w:rsidR="002769B3" w:rsidRPr="002769B3" w:rsidRDefault="002769B3" w:rsidP="002769B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hu-HU"/>
                    </w:rPr>
                  </w:pPr>
                  <w:r w:rsidRPr="002769B3">
                    <w:rPr>
                      <w:rFonts w:eastAsia="Times New Roman"/>
                      <w:sz w:val="24"/>
                      <w:szCs w:val="24"/>
                      <w:lang w:eastAsia="hu-HU"/>
                    </w:rPr>
                    <w:t>Nyomtatás: 2016. 05. 04.</w:t>
                  </w:r>
                </w:p>
              </w:tc>
            </w:tr>
          </w:tbl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</w:tbl>
    <w:p w:rsidR="002769B3" w:rsidRPr="002769B3" w:rsidRDefault="00610CF0" w:rsidP="002769B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610CF0">
        <w:rPr>
          <w:rFonts w:eastAsia="Times New Roman"/>
          <w:sz w:val="24"/>
          <w:szCs w:val="24"/>
          <w:lang w:eastAsia="hu-HU"/>
        </w:rPr>
        <w:pict>
          <v:shape id="_x0000_i1026" type="#_x0000_t75" alt="" style="width:.65pt;height:3.75pt"/>
        </w:pic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2231"/>
        <w:gridCol w:w="1613"/>
        <w:gridCol w:w="973"/>
        <w:gridCol w:w="1849"/>
        <w:gridCol w:w="1579"/>
      </w:tblGrid>
      <w:tr w:rsidR="002769B3" w:rsidRPr="002769B3" w:rsidTr="002769B3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>Közleményjegyzék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>Dokumentum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>Impakt</w:t>
            </w:r>
            <w:proofErr w:type="spellEnd"/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faktor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>NKFI támogatás feltüntetve?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>Támogató szervezetek</w:t>
            </w: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27" type="#_x0000_t75" alt="" style="width:1.25pt;height:1.9pt"/>
              </w:pic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Sághy Miklós: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Eastploitation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, Filmvilág,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folyóiratcikk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nem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28" type="#_x0000_t75" alt="" style="width:1.25pt;height:1.9pt"/>
              </w:pic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Schöck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Cecília: </w:t>
            </w:r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3. Uránia filmnapok: Migráció a köbön</w: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Tiszatáj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, 2014</w:t>
            </w: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29" type="#_x0000_t75" alt="" style="width:1.25pt;height:1.9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folyóiratcikk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igen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30" type="#_x0000_t75" alt="" style="width:1.25pt;height:1.9pt"/>
              </w:pic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Schöck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Cecília: </w:t>
            </w:r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9. román filmhét: A szűnni nem akaró múltfeldolgozás jegyében</w: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Tiszatáj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online, 2014</w:t>
            </w: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31" type="#_x0000_t75" alt="" style="width:1.25pt;height:1.9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folyóiratcikk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igen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32" type="#_x0000_t75" alt="" style="width:1.25pt;height:1.9pt"/>
              </w:pic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Dánél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Mónika: </w:t>
            </w:r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A megjelenítés gesztusai, (belső) képek valósága Hajdu Szabolcs filmjeiben</w:t>
            </w:r>
            <w:proofErr w:type="gram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.</w: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,</w:t>
            </w:r>
            <w:proofErr w:type="gram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Prizma,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folyóiratcikk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igen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33" type="#_x0000_t75" alt="" style="width:1.25pt;height:1.9pt"/>
              </w:pic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Dánél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Mónika: </w:t>
            </w:r>
            <w:proofErr w:type="spellStart"/>
            <w:proofErr w:type="gram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Inf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(</w:t>
            </w:r>
            <w:proofErr w:type="gram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l)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ection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Medium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: Sándor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Kardos’s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Films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in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Between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Eye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Hand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.</w: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Alphaville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: Journal of Film and </w: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Screen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Media, 2015</w:t>
            </w: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34" type="#_x0000_t75" alt="" style="width:1.25pt;height:1.9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folyóiratcikk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igen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35" type="#_x0000_t75" alt="" style="width:1.25pt;height:1.9pt"/>
              </w:pic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Dánél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Mónika: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Spect-actors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between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Watching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and Play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in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Re-enactments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of "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Televised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Revolution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"</w: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ISIS 2015 konferencia </w:t>
            </w:r>
            <w:r w:rsidR="009C3D97">
              <w:rPr>
                <w:rFonts w:eastAsia="Times New Roman"/>
                <w:sz w:val="24"/>
                <w:szCs w:val="24"/>
                <w:lang w:eastAsia="hu-HU"/>
              </w:rPr>
              <w:t>absztraktfüzet, 2015</w:t>
            </w: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36" type="#_x0000_t75" alt="" style="width:1.25pt;height:1.9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9C3D97" w:rsidP="009C3D9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>absztrakt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igen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37" type="#_x0000_t75" alt="" style="width:1.25pt;height:1.9pt"/>
              </w:pic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Győri Zsolt: </w:t>
            </w:r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Veterán emlékezet a Gulyás testvérek Én is jártam </w:t>
            </w:r>
            <w:proofErr w:type="gram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Isonzónál című</w:t>
            </w:r>
            <w:proofErr w:type="gram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filmjében</w: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, Magyar Művészet, 2015</w:t>
            </w: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38" type="#_x0000_t75" alt="" style="width:1.25pt;height:1.9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lastRenderedPageBreak/>
              <w:t xml:space="preserve">folyóiratcikk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igen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39" type="#_x0000_t75" alt="" style="width:1.25pt;height:1.9pt"/>
              </w:pic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Király Hajnal: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Leave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to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Live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?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Placeless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People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in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Contemporary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Hungarian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Romanian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Films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Return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Studies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in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Eastern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 European </w:t>
            </w:r>
            <w:proofErr w:type="spellStart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Cinema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, 2015</w:t>
            </w: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40" type="#_x0000_t75" alt="" style="width:1.25pt;height:1.9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folyóiratcikk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igen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41" type="#_x0000_t75" alt="" style="width:1.25pt;height:1.9pt"/>
              </w:pic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Király Hajnal: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Playing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with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the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Mind’s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Eye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: Visual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Clues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Trompe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l’oeils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in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Contemporary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Hungarian</w:t>
            </w:r>
            <w:proofErr w:type="spell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Cinema</w:t>
            </w:r>
            <w:proofErr w:type="spellEnd"/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, ISIS 2015, konferencia absztraktfüzet, 2015</w:t>
            </w: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42" type="#_x0000_t75" alt="" style="width:1.25pt;height:1.9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absztrakt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igen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43" type="#_x0000_t75" alt="" style="width:1.25pt;height:1.9pt"/>
              </w:pic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Sághy Miklós: </w:t>
            </w:r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 túlvilág nincstelenjei. (Hajléktalanábrázolás Szilasi László </w:t>
            </w:r>
            <w:proofErr w:type="gramStart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harmadik híd című regényében</w: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, Jelenkor, 2015</w:t>
            </w: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44" type="#_x0000_t75" alt="" style="width:1.25pt;height:1.9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folyóiratcikk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nem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Sághy Miklós: </w:t>
            </w:r>
            <w:r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A képzelet vasfüggönye. (Magyar filmek nyugat képe)</w:t>
            </w:r>
            <w:r w:rsidRPr="002769B3">
              <w:rPr>
                <w:rFonts w:eastAsia="Times New Roman"/>
                <w:sz w:val="24"/>
                <w:szCs w:val="24"/>
                <w:lang w:eastAsia="hu-HU"/>
              </w:rPr>
              <w:t>, Filmvilág, 2015</w:t>
            </w:r>
            <w:r w:rsidR="00610CF0"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45" type="#_x0000_t75" alt="" style="width:1.25pt;height:1.9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folyóiratcikk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nem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2769B3" w:rsidRPr="002769B3" w:rsidTr="002769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610CF0" w:rsidP="009C3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46" type="#_x0000_t75" alt="" style="width:1.25pt;height:1.9pt"/>
              </w:pic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Varga Balázs: </w:t>
            </w:r>
            <w:r w:rsidR="002769B3" w:rsidRPr="002769B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hu-HU"/>
              </w:rPr>
              <w:t>Tér és identitás Hajdu Szabolcs filmjeiben</w:t>
            </w:r>
            <w:r w:rsidR="002769B3" w:rsidRPr="002769B3">
              <w:rPr>
                <w:rFonts w:eastAsia="Times New Roman"/>
                <w:sz w:val="24"/>
                <w:szCs w:val="24"/>
                <w:lang w:eastAsia="hu-HU"/>
              </w:rPr>
              <w:t>, Prizma, 2015</w:t>
            </w:r>
            <w:r w:rsidRPr="00610CF0">
              <w:rPr>
                <w:rFonts w:eastAsia="Times New Roman"/>
                <w:sz w:val="24"/>
                <w:szCs w:val="24"/>
                <w:lang w:eastAsia="hu-HU"/>
              </w:rPr>
              <w:pict>
                <v:shape id="_x0000_i1047" type="#_x0000_t75" alt="" style="width:1.25pt;height:1.9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folyóiratcikk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2769B3">
              <w:rPr>
                <w:rFonts w:eastAsia="Times New Roman"/>
                <w:sz w:val="24"/>
                <w:szCs w:val="24"/>
                <w:lang w:eastAsia="hu-HU"/>
              </w:rPr>
              <w:t xml:space="preserve">igen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B3" w:rsidRPr="002769B3" w:rsidRDefault="002769B3" w:rsidP="002769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</w:tbl>
    <w:p w:rsidR="002769B3" w:rsidRDefault="002769B3"/>
    <w:sectPr w:rsidR="002769B3" w:rsidSect="0054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69B3"/>
    <w:rsid w:val="00056D89"/>
    <w:rsid w:val="000D6AC3"/>
    <w:rsid w:val="00264A90"/>
    <w:rsid w:val="002769B3"/>
    <w:rsid w:val="003C2E73"/>
    <w:rsid w:val="005341EE"/>
    <w:rsid w:val="00546EAA"/>
    <w:rsid w:val="00567DA6"/>
    <w:rsid w:val="00610CF0"/>
    <w:rsid w:val="0070091D"/>
    <w:rsid w:val="0096786A"/>
    <w:rsid w:val="009C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E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11221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2</cp:revision>
  <dcterms:created xsi:type="dcterms:W3CDTF">2016-05-04T10:05:00Z</dcterms:created>
  <dcterms:modified xsi:type="dcterms:W3CDTF">2016-05-04T10:05:00Z</dcterms:modified>
</cp:coreProperties>
</file>